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082E" w14:textId="77777777" w:rsidR="00282F96" w:rsidRDefault="00B57921">
      <w:pPr>
        <w:pStyle w:val="Heading1"/>
        <w:widowControl w:val="0"/>
        <w:spacing w:after="200" w:line="276" w:lineRule="auto"/>
        <w:rPr>
          <w:sz w:val="28"/>
          <w:szCs w:val="28"/>
        </w:rPr>
      </w:pPr>
      <w:bookmarkStart w:id="0" w:name="_dhhuqpa3p4eg" w:colFirst="0" w:colLast="0"/>
      <w:bookmarkEnd w:id="0"/>
      <w:r>
        <w:rPr>
          <w:sz w:val="28"/>
          <w:szCs w:val="28"/>
        </w:rPr>
        <w:t>Meeting Agenda</w: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715"/>
        <w:gridCol w:w="1260"/>
        <w:gridCol w:w="7375"/>
      </w:tblGrid>
      <w:tr w:rsidR="00282F96" w14:paraId="366E5790" w14:textId="77777777" w:rsidTr="000C79CA">
        <w:tc>
          <w:tcPr>
            <w:tcW w:w="715" w:type="dxa"/>
          </w:tcPr>
          <w:p w14:paraId="716D844E" w14:textId="77777777" w:rsidR="00282F96" w:rsidRDefault="00B5792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260" w:type="dxa"/>
          </w:tcPr>
          <w:p w14:paraId="11799C00" w14:textId="77777777" w:rsidR="00282F96" w:rsidRDefault="00B57921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375" w:type="dxa"/>
          </w:tcPr>
          <w:p w14:paraId="016262A0" w14:textId="77777777" w:rsidR="00282F96" w:rsidRDefault="00B57921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</w:tr>
      <w:tr w:rsidR="00282F96" w14:paraId="0B54344C" w14:textId="77777777" w:rsidTr="000C79CA">
        <w:tc>
          <w:tcPr>
            <w:tcW w:w="715" w:type="dxa"/>
          </w:tcPr>
          <w:p w14:paraId="4221F512" w14:textId="77777777" w:rsidR="00282F96" w:rsidRDefault="00B57921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2BC39CF7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am</w:t>
            </w:r>
          </w:p>
        </w:tc>
        <w:tc>
          <w:tcPr>
            <w:tcW w:w="7375" w:type="dxa"/>
          </w:tcPr>
          <w:p w14:paraId="0A697904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Welcome, Roll Call, Announcements &amp; Updates (Ali Dunn)</w:t>
            </w:r>
          </w:p>
        </w:tc>
      </w:tr>
      <w:tr w:rsidR="00282F96" w14:paraId="24843C61" w14:textId="77777777" w:rsidTr="000C79CA">
        <w:tc>
          <w:tcPr>
            <w:tcW w:w="715" w:type="dxa"/>
          </w:tcPr>
          <w:p w14:paraId="3866F0AC" w14:textId="77777777" w:rsidR="00282F96" w:rsidRDefault="00B57921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02BBEA4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 am</w:t>
            </w:r>
          </w:p>
        </w:tc>
        <w:tc>
          <w:tcPr>
            <w:tcW w:w="7375" w:type="dxa"/>
          </w:tcPr>
          <w:p w14:paraId="093D7059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 </w:t>
            </w:r>
            <w:r>
              <w:rPr>
                <w:b/>
                <w:sz w:val="24"/>
                <w:szCs w:val="24"/>
              </w:rPr>
              <w:t>Watershed Assessment Dashboard Update (Corey Clatterbuck, State Water Board)</w:t>
            </w:r>
          </w:p>
          <w:p w14:paraId="150BC6D9" w14:textId="77777777" w:rsidR="00282F96" w:rsidRDefault="00B5792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Purpose:</w:t>
            </w:r>
            <w:r>
              <w:rPr>
                <w:sz w:val="24"/>
                <w:szCs w:val="24"/>
              </w:rPr>
              <w:t xml:space="preserve"> To provide an update on the progress of the HWP watershed assessment and landscape assessment dashboard.</w:t>
            </w:r>
          </w:p>
          <w:p w14:paraId="7FD8355D" w14:textId="77777777" w:rsidR="00282F96" w:rsidRDefault="00B57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Background:</w:t>
            </w:r>
            <w:r>
              <w:rPr>
                <w:sz w:val="24"/>
                <w:szCs w:val="24"/>
              </w:rPr>
              <w:t xml:space="preserve"> Progress is based on the landscape assessment tool work plan, literature review, conceptual </w:t>
            </w:r>
            <w:proofErr w:type="gramStart"/>
            <w:r>
              <w:rPr>
                <w:sz w:val="24"/>
                <w:szCs w:val="24"/>
              </w:rPr>
              <w:t>model</w:t>
            </w:r>
            <w:proofErr w:type="gramEnd"/>
            <w:r>
              <w:rPr>
                <w:sz w:val="24"/>
                <w:szCs w:val="24"/>
              </w:rPr>
              <w:t xml:space="preserve"> and dataset discussions since the May 20</w:t>
            </w:r>
            <w:r>
              <w:rPr>
                <w:sz w:val="24"/>
                <w:szCs w:val="24"/>
              </w:rPr>
              <w:t>19 HWP meeting.</w:t>
            </w:r>
          </w:p>
        </w:tc>
      </w:tr>
      <w:tr w:rsidR="00282F96" w14:paraId="7F9299FF" w14:textId="77777777" w:rsidTr="000C79CA">
        <w:tc>
          <w:tcPr>
            <w:tcW w:w="715" w:type="dxa"/>
          </w:tcPr>
          <w:p w14:paraId="000D1801" w14:textId="77777777" w:rsidR="00282F96" w:rsidRDefault="00B57921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115E8BC6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  <w:tc>
          <w:tcPr>
            <w:tcW w:w="7375" w:type="dxa"/>
          </w:tcPr>
          <w:p w14:paraId="7324E140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Chesapeake Healthy Watersheds Assessment (Renee Thompson, USGS and Nancy Roth, </w:t>
            </w:r>
            <w:proofErr w:type="spellStart"/>
            <w:r>
              <w:rPr>
                <w:b/>
                <w:sz w:val="24"/>
                <w:szCs w:val="24"/>
              </w:rPr>
              <w:t>TetraTech</w:t>
            </w:r>
            <w:proofErr w:type="spellEnd"/>
            <w:r>
              <w:rPr>
                <w:b/>
                <w:sz w:val="24"/>
                <w:szCs w:val="24"/>
              </w:rPr>
              <w:t xml:space="preserve"> Inc.)</w:t>
            </w:r>
          </w:p>
          <w:p w14:paraId="68E25631" w14:textId="77777777" w:rsidR="00282F96" w:rsidRDefault="00B57921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Purpose:</w:t>
            </w:r>
            <w:r>
              <w:rPr>
                <w:sz w:val="24"/>
                <w:szCs w:val="24"/>
              </w:rPr>
              <w:t xml:space="preserve"> To provide an overview of the Chesapeake Bay Healthy Watersheds Assessment and outline next steps for implementing watershed</w:t>
            </w:r>
            <w:r>
              <w:rPr>
                <w:sz w:val="24"/>
                <w:szCs w:val="24"/>
              </w:rPr>
              <w:t xml:space="preserve"> restoration and protection goals.</w:t>
            </w:r>
          </w:p>
          <w:p w14:paraId="4E118CDC" w14:textId="77777777" w:rsidR="00282F96" w:rsidRDefault="00B57921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Background: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01F1E"/>
                <w:sz w:val="24"/>
                <w:szCs w:val="24"/>
              </w:rPr>
              <w:t xml:space="preserve">The </w:t>
            </w:r>
            <w:hyperlink r:id="rId6" w:anchor=":~:text=The%20principle%20rational%20for%20setting,a%20sustainably%20restored%20Chesapeake%20Bay.">
              <w:r>
                <w:rPr>
                  <w:color w:val="1155CC"/>
                  <w:sz w:val="24"/>
                  <w:szCs w:val="24"/>
                  <w:u w:val="single"/>
                </w:rPr>
                <w:t>Maintain Healthy Watersheds Goal Implementation Team</w:t>
              </w:r>
            </w:hyperlink>
            <w:r>
              <w:rPr>
                <w:color w:val="201F1E"/>
                <w:sz w:val="24"/>
                <w:szCs w:val="24"/>
              </w:rPr>
              <w:t xml:space="preserve"> performed a Healthy Watersheds Assessment</w:t>
            </w:r>
            <w:r>
              <w:rPr>
                <w:color w:val="292929"/>
                <w:sz w:val="24"/>
                <w:szCs w:val="24"/>
                <w:highlight w:val="white"/>
              </w:rPr>
              <w:t xml:space="preserve"> utilizing jurisdiction-specific data that could address major gaps identified in the Healthy Watershed’s Management Strategy.</w:t>
            </w:r>
            <w:r>
              <w:rPr>
                <w:color w:val="292929"/>
                <w:sz w:val="29"/>
                <w:szCs w:val="29"/>
                <w:highlight w:val="white"/>
              </w:rPr>
              <w:t xml:space="preserve"> </w:t>
            </w:r>
            <w:r>
              <w:rPr>
                <w:color w:val="292929"/>
                <w:sz w:val="24"/>
                <w:szCs w:val="24"/>
                <w:highlight w:val="white"/>
              </w:rPr>
              <w:t xml:space="preserve">A primary goal of the </w:t>
            </w:r>
            <w:r>
              <w:rPr>
                <w:color w:val="292929"/>
                <w:sz w:val="24"/>
                <w:szCs w:val="24"/>
                <w:highlight w:val="white"/>
              </w:rPr>
              <w:t xml:space="preserve">assessment was to compare integrated ecological health and vulnerability scores among state-identified healthy watersheds &amp; other watersheds. </w:t>
            </w:r>
            <w:r>
              <w:rPr>
                <w:sz w:val="24"/>
                <w:szCs w:val="24"/>
              </w:rPr>
              <w:t xml:space="preserve">A final Healthy Watersheds report was published in 2019 with an accompanying assessment tool highlighting healthy </w:t>
            </w:r>
            <w:r>
              <w:rPr>
                <w:sz w:val="24"/>
                <w:szCs w:val="24"/>
              </w:rPr>
              <w:t>watersheds at the reach catchment scale. Leaders are creating more detailed statistical assessments for individual states that drain to the Chesapeake.</w:t>
            </w:r>
          </w:p>
          <w:p w14:paraId="1255C5D1" w14:textId="77777777" w:rsidR="00282F96" w:rsidRDefault="00B57921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Attachments: Chesapeake Healthy Watersheds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Assessment tool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Technical Report</w:t>
              </w:r>
            </w:hyperlink>
          </w:p>
        </w:tc>
      </w:tr>
      <w:tr w:rsidR="00282F96" w14:paraId="194C0247" w14:textId="77777777" w:rsidTr="000C79CA">
        <w:tc>
          <w:tcPr>
            <w:tcW w:w="715" w:type="dxa"/>
          </w:tcPr>
          <w:p w14:paraId="362AB8E2" w14:textId="77777777" w:rsidR="00282F96" w:rsidRDefault="00B57921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</w:tcPr>
          <w:p w14:paraId="200389A6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 am</w:t>
            </w:r>
          </w:p>
        </w:tc>
        <w:tc>
          <w:tcPr>
            <w:tcW w:w="7375" w:type="dxa"/>
          </w:tcPr>
          <w:p w14:paraId="42C46D16" w14:textId="77777777" w:rsidR="00282F96" w:rsidRDefault="00B57921">
            <w:pPr>
              <w:spacing w:before="60" w:after="120"/>
              <w:rPr>
                <w:color w:val="201F1E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 Break</w:t>
            </w:r>
          </w:p>
          <w:p w14:paraId="0499BF49" w14:textId="77777777" w:rsidR="00282F96" w:rsidRDefault="00282F96">
            <w:pPr>
              <w:shd w:val="clear" w:color="auto" w:fill="FFFFFF"/>
              <w:rPr>
                <w:color w:val="201F1E"/>
                <w:sz w:val="24"/>
                <w:szCs w:val="24"/>
              </w:rPr>
            </w:pPr>
          </w:p>
        </w:tc>
      </w:tr>
      <w:tr w:rsidR="00282F96" w14:paraId="40F9E32B" w14:textId="77777777" w:rsidTr="000C79CA">
        <w:tc>
          <w:tcPr>
            <w:tcW w:w="715" w:type="dxa"/>
          </w:tcPr>
          <w:p w14:paraId="14001E76" w14:textId="77777777" w:rsidR="00282F96" w:rsidRDefault="00B57921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639D3EFA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 am</w:t>
            </w:r>
          </w:p>
        </w:tc>
        <w:tc>
          <w:tcPr>
            <w:tcW w:w="7375" w:type="dxa"/>
          </w:tcPr>
          <w:p w14:paraId="2285D9CF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Wisconsin’s Healthy Watersheds, High-Quality Waters Assessment &amp; Action Plan (Pamela </w:t>
            </w:r>
            <w:proofErr w:type="spellStart"/>
            <w:r>
              <w:rPr>
                <w:b/>
                <w:sz w:val="24"/>
                <w:szCs w:val="24"/>
              </w:rPr>
              <w:t>Toshner</w:t>
            </w:r>
            <w:proofErr w:type="spellEnd"/>
            <w:r>
              <w:rPr>
                <w:b/>
                <w:sz w:val="24"/>
                <w:szCs w:val="24"/>
              </w:rPr>
              <w:t>, WI Dept. of Natural Resources)</w:t>
            </w:r>
          </w:p>
          <w:p w14:paraId="04019DA3" w14:textId="77777777" w:rsidR="00282F96" w:rsidRDefault="00B57921">
            <w:pPr>
              <w:spacing w:before="20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Purpose:</w:t>
            </w:r>
            <w:r>
              <w:rPr>
                <w:sz w:val="24"/>
                <w:szCs w:val="24"/>
              </w:rPr>
              <w:t xml:space="preserve"> To provide an overview of the Wisconsin Healthy Watersheds Assessment and the action plan to implement watershed restorati</w:t>
            </w:r>
            <w:r>
              <w:rPr>
                <w:sz w:val="24"/>
                <w:szCs w:val="24"/>
              </w:rPr>
              <w:t>on and protection goals.</w:t>
            </w:r>
          </w:p>
          <w:p w14:paraId="4D093BF9" w14:textId="77777777" w:rsidR="00282F96" w:rsidRDefault="00B57921">
            <w:pPr>
              <w:spacing w:before="20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Background:</w:t>
            </w:r>
            <w:r>
              <w:rPr>
                <w:sz w:val="24"/>
                <w:szCs w:val="24"/>
              </w:rPr>
              <w:t xml:space="preserve"> The Healthy Watershed, High-Quality Waters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program</w:t>
              </w:r>
            </w:hyperlink>
            <w:r>
              <w:rPr>
                <w:sz w:val="24"/>
                <w:szCs w:val="24"/>
              </w:rPr>
              <w:t xml:space="preserve"> is using a non-regulatory approach to </w:t>
            </w:r>
            <w:r>
              <w:rPr>
                <w:color w:val="1D231D"/>
                <w:sz w:val="24"/>
                <w:szCs w:val="24"/>
                <w:shd w:val="clear" w:color="auto" w:fill="FCFCFC"/>
              </w:rPr>
              <w:t xml:space="preserve">keep </w:t>
            </w:r>
            <w:r>
              <w:rPr>
                <w:color w:val="1D231D"/>
                <w:sz w:val="24"/>
                <w:szCs w:val="24"/>
              </w:rPr>
              <w:t>100% of the priority healthy watersheds and high-qua</w:t>
            </w:r>
            <w:r>
              <w:rPr>
                <w:color w:val="1D231D"/>
                <w:sz w:val="24"/>
                <w:szCs w:val="24"/>
              </w:rPr>
              <w:t>lity waters within them at or better than their current conditions through 2030. Priority HUC12 watersheds were identified using a Healthy Watersheds Assessment at the statewide and HUC6 scales. The program is currently implementing its action plan to enga</w:t>
            </w:r>
            <w:r>
              <w:rPr>
                <w:color w:val="1D231D"/>
                <w:sz w:val="24"/>
                <w:szCs w:val="24"/>
              </w:rPr>
              <w:t>ge numerous partners towards reaching program goals.</w:t>
            </w:r>
          </w:p>
          <w:p w14:paraId="764E9D6A" w14:textId="77777777" w:rsidR="00282F96" w:rsidRDefault="00B57921">
            <w:pPr>
              <w:spacing w:before="20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Attachments</w:t>
            </w:r>
            <w:r>
              <w:rPr>
                <w:sz w:val="24"/>
                <w:szCs w:val="24"/>
              </w:rPr>
              <w:t xml:space="preserve">: Healthy Watersheds &amp; High-Quality Waters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Technical Report</w:t>
              </w:r>
            </w:hyperlink>
            <w:r>
              <w:rPr>
                <w:sz w:val="24"/>
                <w:szCs w:val="24"/>
              </w:rPr>
              <w:t>; Watershed Protectio</w:t>
            </w:r>
            <w:r>
              <w:rPr>
                <w:sz w:val="24"/>
                <w:szCs w:val="24"/>
              </w:rPr>
              <w:t xml:space="preserve">n &amp; Restoration Map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Viewer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Action Plan</w:t>
              </w:r>
            </w:hyperlink>
            <w:r>
              <w:rPr>
                <w:sz w:val="24"/>
                <w:szCs w:val="24"/>
              </w:rPr>
              <w:t xml:space="preserve"> for protection</w:t>
            </w:r>
          </w:p>
        </w:tc>
      </w:tr>
      <w:tr w:rsidR="00282F96" w14:paraId="429FE088" w14:textId="77777777" w:rsidTr="000C79CA">
        <w:tc>
          <w:tcPr>
            <w:tcW w:w="715" w:type="dxa"/>
          </w:tcPr>
          <w:p w14:paraId="4D8CC59B" w14:textId="77777777" w:rsidR="00282F96" w:rsidRDefault="00B57921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2C85B51C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 am</w:t>
            </w:r>
          </w:p>
        </w:tc>
        <w:tc>
          <w:tcPr>
            <w:tcW w:w="7375" w:type="dxa"/>
          </w:tcPr>
          <w:p w14:paraId="2081B8EF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Discussion r</w:t>
            </w:r>
            <w:r>
              <w:rPr>
                <w:b/>
                <w:sz w:val="24"/>
                <w:szCs w:val="24"/>
              </w:rPr>
              <w:t>e: Healthy Watershed Assessments &amp; Management Plans</w:t>
            </w:r>
          </w:p>
          <w:p w14:paraId="2BA0606C" w14:textId="77777777" w:rsidR="00282F96" w:rsidRDefault="00B57921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Purpose:</w:t>
            </w:r>
            <w:r>
              <w:rPr>
                <w:sz w:val="24"/>
                <w:szCs w:val="24"/>
              </w:rPr>
              <w:t xml:space="preserve"> Incorporate knowledge from agenda items 3, 5 &amp; 6 to help drive HWP assessment &amp; implementation planning &amp; funding</w:t>
            </w:r>
          </w:p>
        </w:tc>
      </w:tr>
      <w:tr w:rsidR="00282F96" w14:paraId="7AF0E442" w14:textId="77777777" w:rsidTr="000C79CA">
        <w:tc>
          <w:tcPr>
            <w:tcW w:w="715" w:type="dxa"/>
          </w:tcPr>
          <w:p w14:paraId="0A759E52" w14:textId="77777777" w:rsidR="00282F96" w:rsidRDefault="00B57921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5D476C41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12:10 pm</w:t>
            </w:r>
          </w:p>
        </w:tc>
        <w:tc>
          <w:tcPr>
            <w:tcW w:w="7375" w:type="dxa"/>
          </w:tcPr>
          <w:p w14:paraId="1810E9DC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Wrap up (Ali Dunn)</w:t>
            </w:r>
          </w:p>
          <w:p w14:paraId="5BE85425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Purpose:</w:t>
            </w:r>
            <w:r>
              <w:rPr>
                <w:sz w:val="24"/>
                <w:szCs w:val="24"/>
              </w:rPr>
              <w:t xml:space="preserve"> Review action items, next steps.</w:t>
            </w:r>
          </w:p>
        </w:tc>
      </w:tr>
      <w:tr w:rsidR="00282F96" w14:paraId="2C0CC6A6" w14:textId="77777777" w:rsidTr="000C79CA">
        <w:tc>
          <w:tcPr>
            <w:tcW w:w="715" w:type="dxa"/>
          </w:tcPr>
          <w:p w14:paraId="0671A97F" w14:textId="77777777" w:rsidR="00282F96" w:rsidRDefault="00B57921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518027CE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 pm</w:t>
            </w:r>
          </w:p>
        </w:tc>
        <w:tc>
          <w:tcPr>
            <w:tcW w:w="7375" w:type="dxa"/>
          </w:tcPr>
          <w:p w14:paraId="3C83EC4B" w14:textId="77777777" w:rsidR="00282F96" w:rsidRDefault="00B57921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</w:t>
            </w:r>
          </w:p>
        </w:tc>
      </w:tr>
    </w:tbl>
    <w:p w14:paraId="012D9A23" w14:textId="77777777" w:rsidR="00282F96" w:rsidRDefault="00282F96">
      <w:pPr>
        <w:rPr>
          <w:rFonts w:ascii="Roboto" w:eastAsia="Roboto" w:hAnsi="Roboto" w:cs="Roboto"/>
          <w:b/>
        </w:rPr>
      </w:pPr>
    </w:p>
    <w:p w14:paraId="4D7EDD4C" w14:textId="77777777" w:rsidR="00282F96" w:rsidRDefault="00B57921">
      <w:pPr>
        <w:spacing w:after="120"/>
        <w:rPr>
          <w:b/>
        </w:rPr>
      </w:pPr>
      <w:r>
        <w:rPr>
          <w:b/>
          <w:u w:val="single"/>
        </w:rPr>
        <w:t>Remote Attendance Details</w:t>
      </w:r>
    </w:p>
    <w:p w14:paraId="16FC8960" w14:textId="77777777" w:rsidR="00282F96" w:rsidRDefault="00B57921">
      <w:pPr>
        <w:spacing w:before="120" w:after="240"/>
      </w:pPr>
      <w:r>
        <w:rPr>
          <w:b/>
        </w:rPr>
        <w:t xml:space="preserve">Microsoft Teams meeting link: </w:t>
      </w:r>
      <w:hyperlink r:id="rId13">
        <w:r>
          <w:rPr>
            <w:b/>
            <w:color w:val="1155CC"/>
            <w:u w:val="single"/>
          </w:rPr>
          <w:t xml:space="preserve">click here to join the meeting </w:t>
        </w:r>
      </w:hyperlink>
    </w:p>
    <w:p w14:paraId="712EE1DE" w14:textId="77777777" w:rsidR="00282F96" w:rsidRDefault="00B57921">
      <w:pPr>
        <w:spacing w:before="120" w:after="200"/>
        <w:jc w:val="both"/>
        <w:rPr>
          <w:i/>
        </w:rPr>
      </w:pPr>
      <w:r>
        <w:rPr>
          <w:b/>
        </w:rPr>
        <w:t>Call-in information (audio only)</w:t>
      </w:r>
      <w:r>
        <w:rPr>
          <w:i/>
        </w:rPr>
        <w:t xml:space="preserve">: </w:t>
      </w:r>
    </w:p>
    <w:p w14:paraId="2E9BF21E" w14:textId="77777777" w:rsidR="00282F96" w:rsidRDefault="00B57921">
      <w:pPr>
        <w:spacing w:after="240"/>
        <w:jc w:val="both"/>
        <w:rPr>
          <w:b/>
          <w:shd w:val="clear" w:color="auto" w:fill="FFF2CC"/>
        </w:rPr>
      </w:pPr>
      <w:r>
        <w:rPr>
          <w:u w:val="single"/>
        </w:rPr>
        <w:t>Number</w:t>
      </w:r>
      <w:r>
        <w:t xml:space="preserve">: +1 916 562 0861 </w:t>
      </w:r>
      <w:r>
        <w:rPr>
          <w:u w:val="single"/>
        </w:rPr>
        <w:t>Phone Conference ID</w:t>
      </w:r>
      <w:r>
        <w:rPr>
          <w:b/>
        </w:rPr>
        <w:t xml:space="preserve">: </w:t>
      </w:r>
      <w:r>
        <w:t>406 422 114#</w:t>
      </w:r>
    </w:p>
    <w:sectPr w:rsidR="00282F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B8D7" w14:textId="77777777" w:rsidR="00000000" w:rsidRDefault="00B57921">
      <w:r>
        <w:separator/>
      </w:r>
    </w:p>
  </w:endnote>
  <w:endnote w:type="continuationSeparator" w:id="0">
    <w:p w14:paraId="10878098" w14:textId="77777777" w:rsidR="00000000" w:rsidRDefault="00B5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7851" w14:textId="77777777" w:rsidR="00282F96" w:rsidRDefault="00282F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5EA6" w14:textId="77777777" w:rsidR="00282F96" w:rsidRDefault="00B579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79CA">
      <w:rPr>
        <w:noProof/>
        <w:color w:val="000000"/>
      </w:rPr>
      <w:t>2</w:t>
    </w:r>
    <w:r>
      <w:rPr>
        <w:color w:val="000000"/>
      </w:rPr>
      <w:fldChar w:fldCharType="end"/>
    </w:r>
  </w:p>
  <w:p w14:paraId="7A5AE0F7" w14:textId="77777777" w:rsidR="00282F96" w:rsidRDefault="00282F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F1D3" w14:textId="77777777" w:rsidR="00282F96" w:rsidRDefault="00B579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0C79CA">
      <w:rPr>
        <w:noProof/>
      </w:rPr>
      <w:t>1</w:t>
    </w:r>
    <w:r>
      <w:fldChar w:fldCharType="end"/>
    </w:r>
  </w:p>
  <w:p w14:paraId="66A1FC6C" w14:textId="77777777" w:rsidR="00282F96" w:rsidRDefault="00282F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351A" w14:textId="77777777" w:rsidR="00000000" w:rsidRDefault="00B57921">
      <w:r>
        <w:separator/>
      </w:r>
    </w:p>
  </w:footnote>
  <w:footnote w:type="continuationSeparator" w:id="0">
    <w:p w14:paraId="1906342C" w14:textId="77777777" w:rsidR="00000000" w:rsidRDefault="00B5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B5F4" w14:textId="77777777" w:rsidR="00282F96" w:rsidRDefault="00282F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1A71" w14:textId="77777777" w:rsidR="00282F96" w:rsidRDefault="00282F96"/>
  <w:p w14:paraId="0586374C" w14:textId="77777777" w:rsidR="00282F96" w:rsidRDefault="00282F96">
    <w:pPr>
      <w:rPr>
        <w:b/>
      </w:rPr>
    </w:pPr>
  </w:p>
  <w:p w14:paraId="090414B6" w14:textId="77777777" w:rsidR="00282F96" w:rsidRDefault="00282F96">
    <w:pP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67CC" w14:textId="77777777" w:rsidR="00282F96" w:rsidRDefault="00B57921" w:rsidP="000C79CA">
    <w:pPr>
      <w:pStyle w:val="Heading1"/>
      <w:jc w:val="left"/>
    </w:pPr>
    <w:bookmarkStart w:id="1" w:name="_gjdgxs" w:colFirst="0" w:colLast="0"/>
    <w:bookmarkEnd w:id="1"/>
    <w:r>
      <w:t>Healthy Watersheds Partnership</w:t>
    </w:r>
    <w:r>
      <w:rPr>
        <w:noProof/>
      </w:rPr>
      <w:drawing>
        <wp:inline distT="0" distB="0" distL="0" distR="0" wp14:anchorId="4B69DE87" wp14:editId="3441B0F1">
          <wp:extent cx="749808" cy="1170432"/>
          <wp:effectExtent l="0" t="0" r="0" b="0"/>
          <wp:docPr id="1" name="image1.png" descr="Water Quality Monitoring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ater Quality Monitoring Council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1" b="3943"/>
                  <a:stretch>
                    <a:fillRect/>
                  </a:stretch>
                </pic:blipFill>
                <pic:spPr>
                  <a:xfrm>
                    <a:off x="0" y="0"/>
                    <a:ext cx="749808" cy="1170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B4D2D8" wp14:editId="168B5A34">
          <wp:extent cx="1115256" cy="1162050"/>
          <wp:effectExtent l="0" t="0" r="8890" b="0"/>
          <wp:docPr id="2" name="image2.jpg" descr="Healthy Watersheds Partnershi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ealthy Watersheds Partnership Logo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256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D9D66C" w14:textId="77777777" w:rsidR="00282F96" w:rsidRDefault="00B57921" w:rsidP="000C79CA">
    <w:pPr>
      <w:pStyle w:val="Heading1"/>
      <w:jc w:val="left"/>
      <w:rPr>
        <w:b w:val="0"/>
      </w:rPr>
    </w:pPr>
    <w:bookmarkStart w:id="2" w:name="_30j0zll" w:colFirst="0" w:colLast="0"/>
    <w:bookmarkEnd w:id="2"/>
    <w:r>
      <w:rPr>
        <w:b w:val="0"/>
      </w:rPr>
      <w:t xml:space="preserve">May 12, </w:t>
    </w:r>
    <w:proofErr w:type="gramStart"/>
    <w:r>
      <w:rPr>
        <w:b w:val="0"/>
      </w:rPr>
      <w:t>2022</w:t>
    </w:r>
    <w:proofErr w:type="gramEnd"/>
    <w:r>
      <w:rPr>
        <w:b w:val="0"/>
      </w:rPr>
      <w:t xml:space="preserve"> Meeting</w:t>
    </w:r>
  </w:p>
  <w:p w14:paraId="5B03DADA" w14:textId="77777777" w:rsidR="00282F96" w:rsidRDefault="00B57921" w:rsidP="000C79CA">
    <w:pPr>
      <w:spacing w:before="60" w:after="120"/>
      <w:rPr>
        <w:sz w:val="24"/>
        <w:szCs w:val="24"/>
      </w:rPr>
    </w:pPr>
    <w:r>
      <w:rPr>
        <w:sz w:val="24"/>
        <w:szCs w:val="24"/>
      </w:rPr>
      <w:t>9:30 am – 12:30 pm PDT</w:t>
    </w:r>
  </w:p>
  <w:p w14:paraId="3DEFD36F" w14:textId="77777777" w:rsidR="00282F96" w:rsidRDefault="00B57921" w:rsidP="000C79CA">
    <w:pPr>
      <w:rPr>
        <w:b/>
      </w:rPr>
    </w:pPr>
    <w:r>
      <w:rPr>
        <w:b/>
        <w:sz w:val="24"/>
        <w:szCs w:val="24"/>
      </w:rPr>
      <w:t>REMOTE ATTENDANCE ONLY</w:t>
    </w:r>
  </w:p>
  <w:p w14:paraId="348F14EE" w14:textId="79989624" w:rsidR="00282F96" w:rsidRDefault="00B57921" w:rsidP="000C79CA">
    <w:pPr>
      <w:rPr>
        <w:b/>
      </w:rPr>
    </w:pPr>
    <w:r>
      <w:rPr>
        <w:b/>
      </w:rPr>
      <w:t xml:space="preserve">Remote attendance details provided </w:t>
    </w:r>
    <w:r w:rsidR="000C79CA">
      <w:rPr>
        <w:b/>
      </w:rPr>
      <w:t>at the end of the document</w:t>
    </w:r>
  </w:p>
  <w:p w14:paraId="7022AC80" w14:textId="77777777" w:rsidR="00282F96" w:rsidRDefault="00282F96"/>
  <w:p w14:paraId="7D40939F" w14:textId="77777777" w:rsidR="00282F96" w:rsidRDefault="00282F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96"/>
    <w:rsid w:val="000C79CA"/>
    <w:rsid w:val="00282F96"/>
    <w:rsid w:val="007F2464"/>
    <w:rsid w:val="00B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8C27F"/>
  <w15:docId w15:val="{0A343360-87C3-469F-A27F-D381DC1E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apeakebay.net/channel_files/26540/chesapeake_healthy_watersheds_assessment_report.pdf" TargetMode="External"/><Relationship Id="rId13" Type="http://schemas.openxmlformats.org/officeDocument/2006/relationships/hyperlink" Target="https://gcc02.safelinks.protection.outlook.com/ap/t-59584e83/?url=https%3A%2F%2Fteams.microsoft.com%2Fl%2Fmeetup-join%2F19%253ameeting_MDdiNWZiNTYtMTRkYS00YTk2LTg5N2ItY2E1ODVlMGUwMDUy%2540thread.v2%2F0%3Fcontext%3D%257b%2522Tid%2522%253a%2522fe186a25-7d49-41e6-9941-05d2281d36c1%2522%252c%2522Oid%2522%253a%252235c654cd-46d8-484c-858a-77054a24faad%2522%257d&amp;data=04%7C01%7Ccorey.clatterbuck%40waterboards.ca.gov%7C2302b8a655884119d32908d9b4eebd35%7Cfe186a257d4941e6994105d2281d36c1%7C0%7C0%7C637739759741080478%7CUnknown%7CTWFpbGZsb3d8eyJWIjoiMC4wLjAwMDAiLCJQIjoiV2luMzIiLCJBTiI6Ik1haWwiLCJXVCI6Mn0%3D%7C3000&amp;sdata=ry29Na3sNyIabxpn3jOQ8wvwRWVuihfQ%2Baaqx6f6NoQ%3D&amp;reserved=0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is.chesapeakebay.net/healthywatersheds/assessment/" TargetMode="External"/><Relationship Id="rId12" Type="http://schemas.openxmlformats.org/officeDocument/2006/relationships/hyperlink" Target="https://dnr.wisconsin.gov/sites/default/files/topic/SurfaceWater/WDNR_HWHQW_ActionPlan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esapeakebay.net/who/group/maintaining_healthy_watersheds_goal_implementation_team" TargetMode="External"/><Relationship Id="rId11" Type="http://schemas.openxmlformats.org/officeDocument/2006/relationships/hyperlink" Target="https://dnrmaps.wi.gov/H5/?viewer=WI_TMD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dnr.wisconsin.gov/sites/default/files/topic/SurfaceWater/HWHQW_TechReport_NoEGAD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dnr.wisconsin.gov/topic/SurfaceWater/HQW.htm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2474</Characters>
  <Application>Microsoft Office Word</Application>
  <DocSecurity>0</DocSecurity>
  <Lines>77</Lines>
  <Paragraphs>42</Paragraphs>
  <ScaleCrop>false</ScaleCrop>
  <Company>SWRCB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for Healthy Watershed Partnership, May 12 2022</dc:title>
  <dc:creator>Clatterbuck, Corey@Waterboards</dc:creator>
  <cp:keywords>Healthy Watershed Partnership, watershed, SWAMP, HWP</cp:keywords>
  <cp:lastModifiedBy>Clatterbuck, Corey@Waterboards</cp:lastModifiedBy>
  <cp:revision>4</cp:revision>
  <dcterms:created xsi:type="dcterms:W3CDTF">2022-05-06T00:26:00Z</dcterms:created>
  <dcterms:modified xsi:type="dcterms:W3CDTF">2022-05-06T00:29:00Z</dcterms:modified>
</cp:coreProperties>
</file>